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18.08.2021, оставленным без изменения постановлением Девятого арбитражного апелляционного суда от 18.10.2021 и постановлением Арбитражного суда Московского округа от 24.01.2022, иск удовлетворен частично. В кассационной жалобе общество «РТ-Охрана» просит об отмене судебных актов в неудовлетворенной части требования вследствие неправомерного 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установлено. Установление в пределах данного дела обстоятельств, создающих условия для уменьшения неустойки (статья 333 Гражданского кодекса Российской Федерации), является компетенцией судов, рассматривающих дело по правилам для суда первой инстанции, и связанные с такими обстоятельствами доводы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«РТ-Охрана»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