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06.07.2021, оставленным без изменения постановлением Одиннадцатого арбитражного апелляционного суда от 05.10.2021 и постановлением Арбитражного суда Поволжского округа от 19.01.2022, первоначальный иск удовлетворен частично, в удовлетворении встречного иска отказано. В кассационной жалобе общество «Правовой экспертъ» просит об отмене судебных актов в неудовлетворенной части первоначального иска, ссылаясь на оказание услуг на заявленную сумму.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обстоятельства исполнения сторонами договоров об оказании юридических услуг и руководствуясь статьями 779, 781 Гражданского кодекса Российской Федерации, суды взыскали долг исходя из доказанного размера фактически оказанных обществом «Правовой экспертъ» (исполнителем) услуг. Требуемая переоценка обстоятельств исполнения обязательства не составляет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«Правовой экспертъ»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