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06.04.2022 обратился в Верховный Суд Российской Федерации с жалобой на определение судьи Верховного Суда Российской Федерации от 25.03.2022 № 301-ЭС22-1968, решение Арбитражного суда Республики Коми от 22.04.2021, постановление Второго арбитражного апелляционного суда от 20.08.2021 и постановление Арбитражного суда Волго-Вятского округа от 29.11.2021 по делу № А29-15524/2020,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В связи с отказом в удовлетворении ходатайства о восстановлении пропущенного процессуального срока, ходатайство о приостановлении исполнения постановления по делу об административном правонарушении от 10.12.2020 № 98-20/ЗН остается без рассмотрения.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«Спецстроймеханизация Плюс» о восстановлении пропущенного процессуального срока отказать. Жалобу возвратить заявителю.Судья Верховного СудаРоссийской Федерации М.К. Антонова Суд: Верховный Суд РФ (подробнее) Судьи дела: Антонова М.К. (судья) (подробнее) Последние документы по делу: Определение от 14 апреля 2022 г. по делу № А29-15524/2020 Определение от 25 марта 2022 г. по делу № А29-15524/2020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