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08.06.2021, оставленным без изменения постановлением Семнадцатого арбитражного апелляционного суда от 18.08.2021 и постановлением Арбитражного суда Уральского округа от 16.12.2021, из конкурсной массы должника в качестве единственного жилья исключена квартира по адресу: г.Пермь, ул.Советская, д.94, кв.37. В кассационной жалобе Потанина Ю.В. просит об отмене судебных актов, ссылаясь на приоритет в исключении у квартиры, в которой проживают и зарегистрированы должник и члены его семьи.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выборе квартиры из представленного списка суды учитывали ведение дела о банкротстве также в отношении супруга должника и установив, ту, которая обеспечивает для должника и членов его семьи действующую в месте проживания норму жилой площади на человека и достойное существование, в силу статьи 446 Гражданского процессуального кодекса Российской Федерации, статьи 213.25 Федерального закона от 26.10.2002 № 127-ФЗ «О несостоятельности (банкротстве)», правовых позиций Конституционного Суда Российской Федерации, пункта 39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признали обладающей исполнительским иммунитетом. Приведенные заявителем доводы были предметом оценки и не составляют оснований для пересмотра судебных актов в порядке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Потаниной Ю.В.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