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07.05.2021, оставленным без изменения постановлением Семнадцатого арбитражного апелляционного суда от 06.09.2021 и постановлением Арбитражного суда Уральского округа от 16.12.2021, в удовлетворении заявления отказано. В кассационной жалобе Саакян Ю.А. просит об отмене судебных актов, ссылаясь на неправильную оценку обстоятельств совершения сделок неосновательное применение преюдиции. 2 В силу части 1 статьи 291.1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ранее оспариваемые сделки проверялись судом по аналогичным основаниям (обстоятельствам) и признаны реальными и исполняемыми сторонами. В указанной ситуации суды правомерно применили статью 69 Арбитражного процессуального кодекса Российской Федерации, отказав в удовлетворении заявления.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Саакяну Ю.А.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