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Арбитражного суда Краснодарского края от 10.06.2021 общество привлечено к административной ответственности, предусмотренной частью 1 статьи 14.10 Кодекса Российской Федерации об административных правонарушениях, в виде административного штрафа в размере 50 000 рублей, 2 с конфискацией предметов, содержащих незаконное воспроизведение товарного знака, изъятых по протоколу. Постановлением Пятнадцатого арбитражного апелляционного суда от 27.09.2021 решение суда первой инстанции оставлено без изменения, производство по жалобе компании прекращено. Постановлением Суда по интеллектуальным правам от 18.11.2021 решение суда первой инстанции и постановление суда апелляционной инстанции оставлены без изменения, производство по жалобе компании прекращено. Общество и компания просят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жалобах доводы и принятые по делу судебные акты,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 Часть 1 статьи 14.10 Кодекса Российской Федерации об административных правонарушениях предусматривает административную ответственность за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3 Оценив представленные доказательства, руководствуясь положениями статей 1477, 1482, 1484, 1515 Гражданского кодекса Российской Федерации, суды пришли к выводу о наличии в действиях общества состава административного правонарушения, предусмотренного частью 1 статьи 14.10 Кодекса Российской Федерации об административных правонарушениях, установив факт незаконного использования чужого товарного знака для однородных товаров. Поскольку продукция имеет признаки контрафактности, незаконно ввезена на территорию Российской Федерации, суды признали, что указанная продукция не может находиться в обороте и возврату не подлежит. Выводы судов не противоречат правовой позиции, изложенной в пункте 15.1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При этом ранее применительно к имуществу, явившемуся орудием или предметом таможенного правонарушения, Конституционный Суд в Постановлении от 14.05.1999 № 8-П, не исключил возможности его конфискации безотносительно к тому, обеспечено ли собственнику имущества право участвовать в рассмотрении соответствующего дела. Поскольку целью борьбы с контрафактной продукцией является не только получение потребителем заявленного качества продукта, но и репутация бренда и формирование мнения у пользователя о владельце исключительных прав на товарный знак, именно изъятие такого товара из гражданского оборота являются основными целями защиты исключительного права на товарный знак. Доводы кассационных жалоб были предметом исследования судов и получили исчерпывающую правовую оценку,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