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23.06.2021, оставленным без изменения постановлением Восемнадцатого арбитражного апелляционного суда от 31.08.2021 и постановлением Арбитражного суда Уральского округа от 07.12.2021, в удовлетворении иска отказано. В кассационной жалобе общество «ЦББ «Пачоли» просит об отмене судебных актов, ссылаясь на обязанность оплатить услуги по факту оказания.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стороны согласовали порядок изменения цены на услуги и последствия на случай несогласия ответчика (заказчика) с односторонне измененной истцом (исполнителем) ценой, имевшего место в отношении цены за спорный период, поэтому в отсутствие договорной цены на услуги в этот период и недоказанности стоимости фактически оказанных услуг отказали иске в соответствии со статьями 424, 779, 781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«ЦББ «Пачоли»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