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17.12.2020, оставленным без изменения постановлением Девятого арбитражного апелляционного суда от 03.08.2021, в удовлетворении требования отказано. Постановлением Арбитражного суда Московского округа от 21.12.2021 указанные судебные акты оставлены без изменения. 2 Общество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54.1, 88, 169, 171, 172 Налогового кодекса Российской Федерации, с учетом разъяснений Пленума Высшего Арбитражного Суда Российской Федерации, изложенных в постановлении от 12.10.2006 № 53 «Об оценке арбитражными судами обоснованности получения налогоплательщиком налоговой выгоды», суды отказали в удовлетворении требования, признав обоснованным доначисление обществу недоимки по налогу на добавленную стоимость, начисление соответствующих сумм пени и штрафа. При этом суды исходили из того, что представленные обществом документы не подтверждают реальности спорных хозяйственных операций, примененная обществом схема является частью сложной межсубъектной схемы по возмещению налога, в которую вовлечен ряд нефтедобывающих и большое число технических организаций, реализация схемы обеспечивается и 3 контролируется из единого центра, что свидетельствует об умышленном искажении обществом сведений о фактах хозяйственной деятельности. Приведенные в жалобе доводы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