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29.06.2021, оставленным без изменения постановлением Двадцатого арбитражного апелляционного суда от 18.08.2021, заявление удовлетворено частично, постановление управления от 07.09.2020 о назначении административного наказания по делу № 071/04/14.33-734/2020 об административном правонарушении признано незаконным в части назначения наказания и изменено в этой части с назначением обществу наказания в виде административного штрафа в размере 50 000 рублей. В удовлетворении остальной части заявления отказано. Постановлением Суда по интеллектуальным правам от 20.12.2021 названные судебные акты оставлены без изменения. Общество обратилось в Верховный Суд Российской Федерации с кассационной жалобой, в которой просит обжалуемые судебные акты отменить, ссылаясь на их незаконность и необоснованность.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решением управления действия общества по использованию фирменного наименования ООО «Спецгеологоразведка-Н», сходного до степени смешения с фирменным наименованием ООО «Спецгеологоразведка» признаны нарушающими пункт 1 статьи 14.6 Федерального закона от 26.07.2006 № 135-ФЗ «О защите конкуренции» (далее — Закон о защите конкуренции). Указанные обстоятельства послужили основанием для составления в отношении общества протокола и вынесения оспариваемого постановления о привлечении к ответственности на основании части 2 статьи 14.33 Кодекса Российской Федерации об административных правонарушениях с назначением наказания в виде административного штрафа в размере 100 000 рублей.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руководствуясь положениями Закона о защите конкуренции, суды пришли к выводу о наличии в действиях общества признаков состава административного правонарушения, предусмотренного частью 2 статьи 14.33 Кодекса Российской Федерации об административных правонарушениях. Судами установлено, что процедура и срок давности привлечения к административной ответственности соблюдены. При этом размер административного штрафа, назначенного обществу, с учетом положений статьи 4.1 Кодекса Российской Федерации об административных правонарушениях, снижен до 50 000 рублей. Приведенный в жалобе довод об истечении срока давности привлечения к административной ответственности был предметом исследования судов и получил исчерпывающую правовую оценку. Иные доводы жалобы направлены на переоценку доказательств и установление иных фактических обстоятельств спора, выводы судов не опровергают,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"Спецгеологоразведка-Н" (подробнее) Ответчики: Управление Федеральной антимонопольной службы по Тульской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