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08.06.2021, оставленным без изменения постановлением Семнадцатого арбитражного апелляционного суда от 08.09.2021 и постановлением Арбитражного суда Уральского округа от 14.12.2021, в удовлетворении заявления отказано. В кассационной жалобе Амелина Н.Н. просит об отмене судебных актов, ссылаясь на пропуск срока давности по дополнительным требованиям, ненадлежащий способ реализации залогового имущества, игнорирование допущенных при проведении торгов нарушений.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Выводы судов соответствуют статьям 110, 111, 139, 213.26 Федерального закона от 26.10.2002 № 127-ФЗ «О несостоятельности (банкротстве)», статье 449 Гражданского кодекса Российской Федерации и их судебному толкованию. Доводы заявителя были предметом рассмотрения судов в пределах данного и ранее рассмотренных споров.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Амелиной Надежде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