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«Альтернатива» (далее – общество) обратилось в суд с заявлением о прекращении производства по настоящему делу о банкротстве в связи с отказом от требований к должнику. Определением Арбитражного суда Свердловской области от 12.08.2021, оставленным без изменения Семнадцатого арбитражного апелляционного суда от 20.09.2021 и Арбитражного суда Уральского округа от 20.12.2021, заявление удовлетворено, прекращено производство по настоящему делу. В кассационной жалобе, поданной в Верховный Суд Российской Федерации, заявитель просит отменить указанные судебные акты и направить вопрос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 о банкротстве должника, суд первой инстанции, руководствуясь положениями статьи 57 Федерального закона от 26.10.2002 № 127-ФЗ «О несостоятельности (банкротстве)», исходил из отсутствия оснований для отказа в удовлетворении оспариваемого заявления общества.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аналогичные изложенным заявителем в настоящей жалобе,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«Смартлайн»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