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21.06.2021, оставленным без изменения постановлением Семнадцатого арбитражного апелляционного суда от 27.09.2021 и постановлением Арбитражного суда Уральского округа от 10.12.2021,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13.04.2020 на официальном сайте опубликовано извещение о проведении открытого аукциона в электронной форме № 0162300005320001004 и документация об аукционе на обустройство остановок городского пассажирского транспорта. Аукционной комиссией 29.04.2020 проведена процедура рассмотрения вторых частей заявок на участие в электронном аукционе, по итогам составлен протокол подведения итогов электронного аукциона от 30.04.2020 № 0162300005320001004-2-1, согласно которому заявка общества признана несоответствующей требованиям документации об аукционе. Не согласившись с действиями аукционной комиссии, общество обратилось в антимонопольный орган с жалобой, по результатам рассмотрения управлением проведена внеплановая проверка и вынесено решение, которым в действиях аукционной комиссии выявлено нарушение части 7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Считая решение антимонопольного органа незаконным, администрация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контрактной системе,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3 Судебные инстанции исходили из необоснованности отклонения администрацией заявки общества, указав, что обществом в составе второй части заявки подтверждено соответствие участника закупки дополнительным требованиям, установленным Постановлением № 99. Суды установили, что в составе второй части заявки общества для подтверждения соответствия участника дополнительным требованиям представлены договор строительного субподряда от 23.04.2019 № 0162300000519000020-01/С1 на выполнение работ по капитальному ремонту путепровода над железнодорожными путями и автомобильной дорогой, дополнительное соглашение от 25.09.2019 № 1 к договору, согласно которому стоимость работ составила 20 932 030 рублей 91 копейку, акты о приемке выполненных работ и затрат.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