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«Кировоградская»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к обществу с ограниченной ответственностью «ФОРТ БИЗНЕС ЦЕНТР КРИСТАЛЛ» (далее - компания) о расторжении договора аренды от 05.04.2019 № АР-05/04/19, взыскании задолженности по постоянной арендной плате за март и апрель 2020 года в размере 1 134 024 руб. 42 коп., 1 237 438 руб. 34 коп. задолженности по дополнительной арендной плате за период с января по апрель 2020 года, а также неустойки в размере 1 515 765 руб. 71 коп. и 102 692 153 руб. 90 коп. убытков. Делу присвоен номер А40-45186/2020. Компания обратилась в Арбитражный суд города Москвы с иском, уточненным в порядке статьи 49 Арбитражного процессуального кодекса Российской Федерации, к обществу о признании договора аренды от 05.04.20119 № АР-05/04/19 прекратившимся (расторгнутым) с 13.03.2020, 2 взыскании долга, обеспечительного платежа, а также расходов на ремонт в общем размере 14 624 362 руб. 90 коп. Делу присвоен номер А40-52263/2020. Определением Арбитражного суда города Москвы от 11.06.2020 дела № А40-45186/2020 и № А40-52263/2020 объединены в одно производство с присвоением делу № А40-45186/2020. Решением Арбитражного суда города Москвы от 03.12.2020, оставленным без изменения постановлением Девятого арбитражного апелляционного суда от 27.04.2021 и постановлением Арбитражного суда Московского округа от 01.09.2021, первоначальные исковые требования удовлетворены частично, с компании в пользу общества взыскано 1 134 024 руб. 42 коп. долга по постоянной арендной плате за март и апрель 2020 года, 1 237 438 руб. 34 коп. задолженности по дополнительной арендной плате за период с января по апрель 2020 года, 1 515 765 руб. 71 коп. неустойки по состоянию на 02.09.2020, неустойка, начисленная на сумму долга - 2 371 462 руб. 76 коп. за период с 03.09.2020 по день фактической оплаты долга из расчета 0,3% от суммы долга за каждый день просрочки, 2 991 083 руб. убытков в виде расходов на брокерские услуги, 9 251 043 руб. упущенной выгоды за предоставление арендных каникул, 2 182 801 руб. 82 коп. упущенной выгоды за простой помещений с 07.04.2020 по июнь 2020 включительно, в удовлетворении остальной части первоначальных исковых требований и в удовлетворении встречного иска отказано. В кассационной жалобе, поданной в Верховный Суд Российской Федерации, компания, ссылаясь на нарушение судами норм материального права, просит отменить указанные судебные акты в части взыскания с нее в пользу общества 2 182 801 руб. 82 коп. упущенной выгоды за простой помещений, 9 251 043 руб. упущенной выгоды за предоставление арендных каникул, 2 991 083 руб. убытков в виде расходов на брокерские услуги и направить дело в указанной части на новое рассмотрение в Арбитражный суд города Москвы.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3 При изучении доводов кассационной жалобы компании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общество (арендодатель) и компания (арендатор) 05.04.2019 заключили договор № АР-05/04/19 аренды нежилого помещения (в редакции дополнительного соглашения от 20.06.2019 № 1; далее - договор), в соответствии с которым арендодатель обязался передать арендатору в возмездное временное владение и пользование, а арендатор принять от арендодателя нежилое помещение площадью 1387 кв. м в административном здании, расположенном по адресу: Москва, ул. Кировоградская, д. 23А. Пунктом 3.1 договора установлен срок аренды помещений – 10 лет с даты подписания сторонами акта приема-передачи помещений. В соответствии с пунктом 5 договора арендная плата состоит из постоянной арендной платы, дополнительной арендной платы и эксплуатационных расходов. Согласно пункту 6.10 арендатор обязался произвести в помещениях работы в течение 180 календарных дней с момента подписания акта приема-передачи помещений в объеме не менее, чем предусмотрено стандартной отделкой в соответствии с приложением № 6 к договору. Помещения переданы арендатору 18.04.2019 по акту приема-передачи помещений. Исковые требования общества в обжалуемой части мотивированы тем, что в результате досрочного расторжения договора по причине существенного нарушения компанией его условий, обществу причинены убытки в виде расходов на брокерские услуги, а также за период предоставления арендных каникул и простой помещения. Разрешая спор в указанной части, суд первой инстанции руководствовался статьями 15, 393, 450, 453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 из следующего. Установив, что общество направило в адрес компании уведомление о расторжении договора (от 20.03.2020), условиями которого предусмотрено право арендодателя отказаться от договора в случае неуплаты арендатором арендной платы и непроведения последним своевременного ремонта (пункты 8.2.1, 8.2.4.1 договора), признав подтвержденным факт нарушения компанией соответствующих обязательств, принимая во внимание подписание сторонами 06.04.2020 акта возврата помещений, суд заключил, что договор расторгнут с 06.04.2020. 4 Указав, что в связи с досрочным расторжением договора по вине арендатора помещения простаивали и не были сданы в аренду, суд пришел к выводу об обязанности компании возместить обществу убытки в виде упущенной выгоды за простой помещений в период с 07.04.2020 по июнь 2020 года в размере 2 182 801 руб. 82 коп. Ссылаясь на то, что в связи с неисполнением компанией предусмотренной договором обязанности по производству ремонта помещений и отсутствия в помещениях необходимого для их использования ремонта общество будет вынуждено предоставить новому арендатору арендные каникулы, отметив, что такие каникулы были предоставлены компании, суд признал неполученные в будущем доходы общества от арендной платы ввиду предоставления новому арендатору каникул упущенной выгодой и удовлетворил соответствующее требование. Исходя из того, что для сдачи помещений в аренду общество использовало услуги брокеров по недвижимости и при заключении спорного договора понесло соответствующие расходы в размере 2 991 083 руб., при этом общество рассчитывало на арендные отношения с компанией сроком на 10 лет, однако договор был досрочно прекращен по вине последней, суд признал обоснованным требование общества о взыскании с компании убытков в виде этих расходов в указанной части. Апелляционный и окружной суды поддержали выводы суда первой инстанции. В кассационной жалобе компания, выражая несогласие с приведенными выводами судов, приводит следующие доводы. В соответствии с пунктом 10.3 договора вне зависимости от положений иных статей договора стороны не несут ответственности друг перед другом за упущенную ими выгоду. Согласно пункту 1 статьи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Применяя статью 15 Гражданского кодекса Российской Федерации, следует учитывать, что по общему правилу лицо, право которого нарушено, может требовать полного возмещения причиненных ему убытков. Возмещение убытков в меньшем размере возможно в случаях, предусмотренных законом или договором в пределах, установленных гражданским законодательством (пункт 11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В силу пунктов 1, 4 статьи 421 Гражданского кодекса Российской Федерации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Гражданского кодекса Российской Федерации). Диспозитивность пункта 1 статьи 15 Гражданского кодекса Российской 5 Федерации с учетом положений статьи 421 Гражданского кодекса Российской Федерации указывает на возможность договорного ограничения размера возмещения убытков. Законом может быть ограничено право на полное возмещение убытков (ограниченная ответственность) по отдельным видам обязательств и по обязательствам, связанным с определенным родом деятельности (пункт 1 статьи 400 Гражданского кодекса Российской Федерации). Ничтожность условия договора об ограничении размера ответственности предусмотрена в случаях, указанных в пункте 2 статьи 400 Гражданского кодекса Российской Федерации, согласно которому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законом и если соглашение заключено до наступления обстоятельств, влекущих ответственность за неисполнение или ненадлежащее исполнение обязательства. По мнению заявителя, поскольку в настоящем деле указанные обстоятельства отсутствуют, судами неправильно применены положения статьи 15 Гражданского кодекса Российской Федерации. При таких обстоятельствах заявитель полагает, что ввиду наличия установленного договором ограничения ответственности сторон взысканием убытков в виде реального ущерба, у судов отсутствовали основания для взыскания с компании в пользу общества упущенной выгоды в размере 11 433 844 руб. 82 коп., в том числе за предоставление арендных каникул в сумме 9 251 043 руб. и за простой помещений в сумме 2 182 801 руб. 82 коп. Также заявитель отмечает, что в соответствии с пунктом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Заключенное заранее соглашение об устранении или ограничении ответственности не освобождает от ответственности за умышленное нарушение обязательства (пункт 4 статьи 401 Гражданского кодекса Российской Федерации). В силу пункта 2 статьи 401 Гражданского кодекса Российской Федерации отсутствие умысла доказывается лицом, нарушившим обязательство. В ходе рассмотрения дела компания ссылалась на отсутствие ее вины в несвоевременном ремонте арендуемого помещения, а также в расторжении договора. Кроме того, судом первой инстанции установлено наличие препятствий компании в доступе в арендуемое помещение в виде отсутствия разрешений на ввоз и вывоз строительных материалов. Между тем суды 6 не дали оценку поведению компании и не привели мотивы, по которым сочли не подлежащим применению условие договора об ограничении размера ответственности. Ссылаясь на то, что поиск арендодателем арендатора является частью процесса заключения договора аренды, нормы Гражданского кодекса Российской Федерации о договоре аренды не устанавливают обязанность арендатора возмещать арендодателю расходы на поиск арендатора (брокерские услуги), возложение такой обязанности не предусмотрено и условиями спорного договора, заявитель считает ошибочными выводы судов о взыскании с него соответствующих расходов.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«ФОРТ БИЗНЕС ЦЕНТР КРИСТАЛЛ»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19 мая 2022 года на 11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