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31.05.2021, оставленным без изменения постановлениями Семнадцатого арбитражного апелляционного суда от 20.08.2021 и Арбитражного суда Уральского округа от 14.12.2021, в удовлетворении заявления общества отказано.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выездной проверки общества выявлены нарушения обязательных требований пожарной безопасности на объекте заявителя, в связи с чем старшим инспектором отделения выдано предписание об устранении нарушений требований пожарной безопасности, о проведении мероприятий по обеспечению пожарной безопасности на объектах защиты и по предотвращению угрозы возникновения пожара. Не согласившись с указанным ненормативным правовым актом, общество обратилось в арбитражный суд с заявлением о признании его недействительным. Исследовав обстоятельства дела и оценив имеющиеся доказательства, руководствуясь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закона от 21.12.1994 № 69-ФЗ «О пожарной безопасности», Федерального закона от 22.07.2008 № 123-ФЗ «Технический регламент о требованиях пожарной безопасности», Правилами проведения расчетов по оценке пожарного риска, утвержденными постановлением Правительства Российской Федерации от 31.03.2009 № 272, Правилами противопожарного режима в Российской Федерации, утвержденными постановлением Правительства Российской Федерации от 16.09.2020 № 1479, Методикой определения расчетных величин пожарного риска в зданиях, сооружениях и строениях различных классов функциональной пожарной опасности, утвержденной приказом МЧС России от 30.06.2009 № 382, ГОСТом Р 53325-2012 «Техника пожарная. Технические средства пожарной автоматики. Общие технические требования и методы испытаний», суды пришли к выводу о соответствии оспариваемого предписания нормам законодательства в сфере пожарной безопасности, отсутствии нарушения прав и законных интересов заявителя. Судебные инстанции исходили из несоблюдения обществом требований пожарной безопасности. 3 При этом суды отметили, что период постройки и введения в эксплуатацию спорного объекта не освобождает общество от соблюдения действующих (введенных после постройки здания) норм и правил пожарной безопасности, поскольку выявленные надзорным органом нарушения непосредственным образом касаются обеспечения жизни и безопасности людей, в связи с чем эксплуатация объекта с нарушением спорных требований пожарной безопасности ведет к недопустимому риску для их жизни или здоровья при возможном возникновении пожара; приведение ранее введенного в эксплуатацию объекта в соответствие с актуальными требованиями пожарной безопасности обусловлено уровнем современных рисков возникновения и распространения пожара. Доводы общества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«Фаунд»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