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28.07.2021, оставленным без изменения постановлением Тринадцатого арбитражного апелляционного суда от 14.10.2021, в удовлетворении требований отказано. Постановлением Арбитражного суда Северо-Западного округа от 01.02.2021 указанные судебные акты оставлены без изменения. Григорьев А.М. просит обжалуемые судебные акты отменить, считая их незаконными и необоснованными. При изучении доводов кассационной жалобы и принятых по делу судебных актов оснований для передачи жалобы в судебное заседание Судебной коллегии по экономическим спорам Верховного Суда Российской Федерации не установлено. Признав не доказанным наличие в действиях арбитражного управляющего нарушения обязанностей, установленных Федеральным законом от 26.10.2002 № 127-ФЗ «О несостоятельности (банкротстве)», суды не установили оснований для отмены постановления о прекращении производства по делу об административном правонарушении в связи с отсутствием состава правонарушения, ответственность за которое предусмотрена частью 3 статьи 14.13 Кодекса Российской Федерации об административных правонарушениях, в том числе, в связи с отсутствием вины арбитражного управляющего. Доводы жалобы направлены на переоценку доказательств и установление иных фактических обстоятельств дела, в связи с чем не могут служить основанием для передачи жалобы на рассмотрение Судебной коллегии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3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