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19.07.2021 оспариваемое постановление изменено в части назначенного наказания, размер 2 административного штрафа снижен с 75 до 50 процентов суммы незаконной валютной операции, что составило 116 128,97 рублей. Постановлением Девятого арбитражного апелляционного суда от 20.09.2021 решение суда первой инстанции отменено, в удовлетворении заявленных требований отказано. Постановлением Арбитражного суда Московского округа от 15.12.2021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3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правонарушениях, установив, что общество выплатило нерезидентам по расчетно-платежной ведомости денежные средства из кассы. Выводы судов не противоречат правовой позиции, изложенной в определениях Конституционного Суда Российской Федерации от 20.07.2021 № 1664-О, от 27.01.2022 № 20-О. При этом суд апелляционной инстанции признал, что штраф снижен судом первой инстанции произвольно, наличие исключительных обстоятельств и (или) тяжелого финансового положения не подтверждено, штраф назначен административным органом в минимальном размере санкции нормы и соответствует целям административного наказания. Указанные выводы в жалобе не опровергнуты. Судами установлено, что процедура и срок давности привлечения к административной ответственности соблюдены. Оснований для применения статьи 2.9 Кодекса Российской Федерации об административных 4 правонарушениях и освобождения от административной ответственности, суды не усмотрели.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