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15.06.2021, оставленным без изменения постановлением Девятого арбитражного апелляционного суда от 09.09.2021, в иске отказано. Постановлением Арбитражного суда Московского округа от 22.12.2021 указанные судебные акты оставлены без изменения. Общество просит обжалуемые судебные акты отменить, считая их незаконными и необоснованными, иск удовлетворить. 2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863, 864, 866 Гражданского кодекса Российской Федерации, статьи 31 Федерального закона от 02.12.1990 № 395-1 «О банках и банковской деятельности», Положения Банка России от 19.06.2012 № 383-П «О правилах осуществления перевода денежных средств», суды в иске отказали, признав недоказанным совокупность обстоятельств, необходимой для привлечения банка к гражданско-правовой ответственности в виде взыскания убытков. Выводы судов не противоречат правовой позиции, изложенной в решение Верховного Суда Российской Федерации от 10.03.2020 № АКПИ20-40 применительно к обстоятельствам исполнения банком входящего платежа, в связи с чем не могут служить основанием для передачи жалобы на рассмотрение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