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01.04.2021, оставленным без изменения постановлением Семнадцатого арбитражного апелляционного суда от 06.04.2021 и постановлением Арбитражного суда Уральского округа от 08.12.2021, исковые требования удовлетворены.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2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в том числе заключенные сторонами договор купли-продажи спецтехники и договор аренды спецтехники, установив, что обществом были допущены существенные нарушения условий договора купли-продажи спецтехники (неисполнение обязательств по оплате товара), в отсутствие доказательств, опровергающих данные обстоятельства, суды первой и апелляционной инстанций пришли к выводу о правомерности решения компании об одностороннем отказе от названного договора и заявленных им требований о применении к обществу ответственности в виде неустойки (пеней, штрафа), поименованных в пунктах 3.4 и 3.6 договора как убытки. Проверив и признав верными представленные компанией расчеты, не усмотрев оснований для применения положений статьи 333 Гражданского кодекса Российской Федерации, руководствуясь статьями 15, 330, 421, 422, 431, 450.1, 453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пришли к выводу об удовлетворении иска. Суд округа поддержал выводы судов первой и апелляционной инстанций. Приведенные в кассационной жалобе доводы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«Модуль»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