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апреля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заявитель обратился в Верховный Суд Российской Федерации с указанной кассационной жалобой, одновременно заявив ходатайство о восстановлении срока ее подачи. Рассмотрев ходатайство, оценив изложенные в нем доводы, судья находит его подлежащим удовлетворению. Руководствуясь статьями 117, 184, 291.2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ходатайство Мазурова Дмитрия Петровича удовлетворить. Срок подачи кассационной жалобы на определение Арбитражного суда города Москвы от 02.07.2021 по делу № А40-216654/2019, постановление Девятого арбитражного апелляционного суда от 06.10.2021 и постановление Арбитражного суда Московского округа от 02.02.2022 по тому же делу восстановить. Судья Верховного Суда Российской Федерации Е.Н. Зарубина 2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