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01.02.2021 исковые требования удовлетворены. Постановлением Десятого арбитражного апелляционного суда от 07.04.2021 решение суда первой инстанции отменено, в удовлетворении исковых требований отказано. Постановлением Арбитражного суда Московского округа от 28.10.2021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2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заявителя не установлено. Как установлено судами и следует из материалов дела, компания (арендодатель) и общество (арендатор) 25.12.2015 заключили договор аренды № 25341/2015 (далее – договор), по условиям которого арендодатель обязался передать, а арендатор – принять в аренду помещение в здании котельной по адресу: Владимирская область, Александровский район, г. Александров, Стрелецкая набережная, д. 1 для установки базовой станции № 25341 «Александров-Восток», а также места на технологическом балконе дымовой трубы для установки антенно-фидерных устройств (АФУ) и кабель трасс. Стороны 25.02.2019 подписали соглашение о расторжении договора с 31.08.2018. В период с 16.03.2016 по 06.09.2018 общество перечислило компании арендную плату по договору, в том числе за пользование дымовой трубой. Общество 03.07.2019 направило в адрес компании претензию, в которой указало на наличие сведений о том, что поименованное в договоре здание дымовой трубы арендодателю не принадлежало, в связи с чем потребовало возврата платежей в сумме 592 141 руб. 18 коп. Поскольку данная претензия ответчиком не исполнена, истец обратился в арбитражный суд настоящим иском. Удовлетворяя исковые требования, суд первой инстанции указал на возникновение на стороне ответчика неосновательного обогащения в виде сбережения денежных средств истца в счет оплаты за аренду дымовой трубы и электроэнергию, полученных в отсутствие законных оснований. Отменяя решение суда первой инстанции и отказывая в удовлетворении иска,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303, 608, 1102, 1105 Гражданского кодекса Российской Федерации, разъяснениями, изложенными в пункте 12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исходил из того, что истец перечислил спорные денежные средства в пользу ответчика в период действия договора в качестве 3 платы за фактическое пользование имуществом и, следовательно, на стороне последнего неосновательное обогащение не возникло. Суд округа поддержал выводы суда апелляционной инстанции. Изложенные в кассационной жалобе доводы со ссылкой на судебные акты по делам № А40-115528/2018, № А40-61175/2019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Следует отметить, что в рассматриваемом случае общество не лишено возможности защитить право, которое оно считает нарушенным, в ином установленном законом порядке, в том числе путем предъявления требования о взыскании убытков.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«ВымпелКом»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