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22.03.2021, оставленным без изменения постановлением Пятнадцатого арбитражного апелляционного суда от 13.07.2021, заявленное требование удовлетворено. Постановлением Арбитражного суда Северо-Кавказского округа от 28.01.2022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Исходя из доводов жалобы и принятых по делу судебных актов таких оснований не установлено.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статьи 42 Земельного кодекса Российской Федерации, суды пришли к выводу об отсутствии в действиях общества состава правонарушения, ответственность за которое предусмотрена частью 1 статьи 8.8 Кодекса Российской Федерации об административных правонарушениях, признав недоказанным нецелевое использование земельного участка, с учетом соотнесения фактического использования обществом земельного участка с видом разрешенного использования этого участка. При этом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3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Принимая во внимание положения Федерального закона от 26.03.2022 № 70-ФЗ «О внесении изменений в Кодекс Российской Федерации об административных правонарушениях» (вступил в силу с 6 апреля 2022 года), учитывая, что должностное лицо юридического лица привлечено к административной ответственности, на что ссылается сам административный орган в кассационной жалобе, а также исходя из полномочий Верховного Суда Российской Федерации, таких оснований для отмены судебных актов по доводам жалобы не установлено.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