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06.05.2021, оставленным без изменения постановлением Девятого арбитражного апелляционного суда от 30.08.2021, в удовлетворении иска отказано, встречный иск удовлетворен. Постановлением Арбитражного суда Московского округа от 16.12.2021 названные судебные акты оставлены без изменения. Предприниматель обратился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Отказывая в удовлетворении иска и удовлетворяя встречные исковые требования, оценив представленные доказательства, руководствуясь положениями статей 309, 310, 456, 467, 468, 516, 534 Гражданского кодекса Российской Федерации, Федеральным законом Российской Федерации от 05.04.2013 № 44-ФЗ «О контрактной системе в сфере закупок товаров, работ, услуг для обеспечения государственных и муниципальных нужд», принимая во внимание решение комиссии Управления Федеральной антимонопольной службы по г. Москве от 12.05.2020 о включении сведений в отношении предпринимателя в реестр недобросовестных поставщиков, суды, установив неоднократные нарушения сроков и объемов поставки, пришли к выводу об отсутствии оснований у заказчика для приемки товара, и как следствие, правомерности решения об одностороннем отказе от исполнения контракта. Доводы жалобы направлены на переоценку доказательств и установление иных фактических обстоятельств дела,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3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