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28.05.2021, оставленным без изменения постановлением Двадцатого арбитражного апелляционного суда от 19.08.2021 и постановлением Арбитражного суда 2 Центрального округа от 23.12.2021,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налогов, начисления пеней и штрафа послужил вывод налогового органа о занижении обществом налоговой базы в связи с неправомерным включением в состав расходов затрат по хозяйственным операциям приобретения товара у ООО «СервисЛюкс» и необоснованным применением налоговых вычетов на основании документов, выставленных от имени указанного контрагента. Признавая решение инспекции в оспоренной части законным, суды, оценив представленные в материалы дела доказательства, руководствуясь положениями статей 169, 171, 172, 247, 252 Налогового кодекса, разъяснениями, изложенными в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от 23.06.2015 № 25 «О применении судами некоторых положений раздела I части 1 Гражданского кодекса Российской Федерации», пришли к выводу о доказанности инспекцией совокупности обстоятельств, свидетельствующих о направленности действий общества на получение из бюджета необоснованной налоговой выгоды. Суды установили, что представленные обществом первичные документы содержат недостоверные сведения, составлены фиктивно и не подтверждают реального совершения хозяйственных операций спорным контрагентом, имеющим признаки номинальной организации и формально включенным в цепочку поставки с целью искусственного увеличения стоимости товара для занижения налоговой базы по налогу на прибыль и необоснованного применения вычетов по НДС. При этом учитывая, что реальным поставщиком товара в адрес общества выступало ООО «ИстЭнергоГрупп», суды признали правомерным определение инспекцией налоговых обязательств с учетом разницы между ценой 3 приобретения спорного товара у ООО «СервисЛюкс» и ценой, по которой данный контрагент приобретал товар у ООО «ИстЭнергоГрупп». Вопреки доводам жалобы, произведенный расчет реальных налоговых обязательств общества являлся предметом рассмотрения и оценки судов. Вместе с тем, согласно документам карточки дела, размещенной на официальном сайте Картотека арбитражных дел (http://kad.arbitr.ru/) в информационно-телекоммуникационной сети «Интернет», данный расчет приведен не только в решении налогового органа, но и в поданных им в суд первой инстанции письменных пояснениях от 16.04.2021.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«Арматурная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