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«Ювелир» обратилось в Арбитражный суд города Москвы с иском о взыскании с общества с ограниченной ответственностью «НАНО» 5 842 104 рублей неосновательного обогащения и 940 398 рублей 75 копеек процентов. Решением Арбитражного суда города Москвы от 20.07.2021 в удовлетворении иска отказано. Постановлением Девятого арбитражного апелляционного суда от 27.07.2021 решение суда первой инстанции оставлено без изменения. Арбитражный суд Московского округа постановлением от 20.12.2021 указанные судебные акты оставил без изменения. Общество с ограниченной ответственностью «Ювелир»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является действующим, признав доказанным факт надлежащего выполнения ответчиком обязательств по договору, руководствуясь положениями статей 309, 310, 395, 1102, 1107 Гражданского кодекса Российской Федерации, суды пришли к выводу о недоказанности возникновения на стороне ответчика неосновательного обогащения.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заявления о фальсификации доказательств и назначении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«Ювелир»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