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29.06.2021, оставленным без изменения постановлением Одиннадцатого арбитражного апелляционного суда от 14.09.2021 и постановлением Арбитражного суда Поволжского округа от 09.12.2021, в удовлетворении заявления отказано. В кассационной жалобе банк просит об отмене судебных актов, ссылаясь на неполное исследование обстоятельств совершения платежа и игнорирование предпочтительного удовлетворения им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непричастность должника к оспариваемой денежной операции и недоказанность совершения ее другим лицом за счет средств должника в ущерб конкурсной массе и интересам кредиторов, поэтому, признав сделку не попадающей под условия пункта 1 статьи 61.3 Федерального закона от 26.10.2002 № 127-ФЗ «О несостоятельности (банкротстве)», отказали в применении требуемых кредитором последствий. Доводы заявителя о порочности сделки по основанию финансовой несостоятельности совершившего платеж лица были предметом оценки судов и отклонены как противоречащие обстоятельствам, установленным в рамках обособленного спора о процессуальном правопреемстве и об исключении требования из реестра требований кредиторов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«Татфондбанк»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