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в реестр требований кредиторов должника её требования в размере 2 362 000 000 рублей. Определением Арбитражного суда города Москвы от 28.12.2018, оставленным без изменения постановлениями Девятого арбитражного апелляционного суда от 25.02.2019 и Арбитражного суда Московского округа от 04.06.2019,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его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170 Гражданского кодекса Российской Федерации, статьями 2, 71, 100 Федерального закона от 26.10.2002 № 127-ФЗ «О несостоятельности (банкротстве)», разъяснениями, приведёнными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того, что заявленное требование основано на сделках входящих в одну группу с должником лиц, совершенных со злоупотреблением правом и не имеющих иного экономического обоснования кроме получения контроля над процедурой банкротства и уменьшения количества голосов, приходящихся на долю независимых кредиторов должника, в связи с чем, отказали компании в удовлетворении её заявления.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Mutual Success Corporation Ltd (Мьючуэл Саксесс Корпорейшн Лтд)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Mutual Success Cjrpjration (подробнее) Mutual Success Corporation Ltd (подробнее) ГБУ "ЭВАДЖ" (подробнее) ЗАО "Мосстройэкономбанк" (подробнее) ИФНС №4 (подробнее) Компания Камилла Пропертиз Лимитед (подробнее) ПАО АМБ Банк (подробнее) ТСЖ Пестово (подробнее) Ответчики: Иностранная компания (подробнее) Иные лица: ГУ МВД России по г. Санкт-Петербургу и Ленинградской области (подробнее) МО по ОИП ЦФССП России по Москве (подробнее) Нотариус г. Москвы Миллеру Н.Н. (подробнее) Ф/У Колдырева А.В. (подробнее) Судьи дела: Корнелюк Е.С. (судья) (подробнее) Последние документы по делу: Определение от 11 апреля 2022 г. по делу № А40-244943/2015 Определение от 17 сентября 2019 г. по делу № А40-244943/2015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