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16.04.2021, оставленным без изменения постановлением Девятого арбитражного апелляционного суда от 28.07.2021 и постановлением Арбитражного суда Московского округа 2 от 14.12.2021, первоначальные исковые требования удовлетворены, в удовлетворении встречного иска отказано. В кассационной жалобе, поданной в Верховный Суд Российской Федерации, общество, ссылаясь на незаконность указанных судебных актов, просит их отменить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предъявленные взаимные требования компании (заказчик) и общества (подрядчик) основаны на договоре от 18.09.2018 № Ст-НОГМЭ/17/ПИР-суб-4 (далее – договор), от исполнения которого заказчик отказался в одностороннем порядке в связи с нарушением подрядчиком сроков выполнения работ.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перечисления компанией в пользу общества авансового платежа по договору, его прекращения и отсутствие доказательств выполнения последним работ, сдачи их результата компании либо возврата суммы полученных денежных средств, руководствуясь статьями 309, 310, 330, 395, 421, 450.1, 702, 711, 715, 758, 760, 762, 1102, 1107 Гражданского кодекса Российской Федерации, суды первой и апелляционной инстанций пришли к выводу о наличии оснований для удовлетворения первоначальных исковых требований и отказа в удовлетворении встречного иска. Суд округа согласился с выводами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3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«ПИРЭнерго»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