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12.03.2021, оставленным без изменения постановлением Пятнадцатого арбитражного апелляционного суда от 27.07.2021 и постановлением Арбитражного суда Северо-Кавказского округа от 09.12.2021, по иску взыскано 317 535 рублей 15 копеек процентов за пользование чужими денежными средствами; с истца в пользу ответчика взыскано 94 599 рублей 40 копеек судебных расходов по оплате судебной экспертизы; в результате зачета взысканных сумм с ответчика в пользу истца взыскано 222 935 рублей 75 копеек. В кассационной жалобе предприниматель Капелист И.В. просит об отмене судебных актов, ссылаясь на нарушение в оценке доказательств и принятие работ без замечаний.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Судебные акты соответствуют установленным обстоятельствам исполнения сторонами договора от 15.04.2018 № 1 и статьям 779, 781 Гражданского кодекса Российской Федерации. Требуемое подателем жалобы изменение оценки доказательств исполнения обязательства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Капелисту Ивану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