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16.07.2021 завершена процедура реализации имущества гражданина ФИО1; должник освобожден от дальнейшего исполнения требований кредиторов, в том числе требований, не заявленных при введении реализации имущества должника. Постановлением Восемнадцатого арбитражного апелляционного суда от 20.09.2021 определение суда первой инстанции отменено в части применения правила об освобождении должника от дальнейшего исполнения обязательств и должник не освобожден от дальнейшего исполнения обязательств перед кредиторами. Арбитражный суд Уральского округа постановлением от 27.12.2021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 апелляционной инстанции пришел к выводу о недоказанности наличия обстоятельств, позволяющих признать должника добросовестным и освободить его от исполнения обязательств.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кредит" (подробнее) АО "Банк Русский Стандарт" (подробнее) ООО "Феникс" (подробнее) Иные лица: ААУ "Евразия"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