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15.04.2021, оставленным без изменения постановлением Девятого арбитражного апелляционного суда от 06.09.2021 и постановлением Арбитражного суда Московского округа от 21.12.2021, иск удовлетворен. В кассационной жалобе общество «Ди Эйч Бизнес Консалтинг» просит о пересмотре судебных актов, ссылаясь на принятие услуг без замечаний.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пороки доказательств оказания услуг и отказ истца от договора, поэтому обязали ответчика возвратить полученную от истца сумму в силу статьи 1102 Гражданского кодекса Российской Федерации. Приведенные в рассматриваемой жалобе доводы направлены на ревизию оценки доказательств и основанных на ней выводов, которая не составляет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«Ди Эйч Бизнес Консалтинг»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"Русско-китайская инвестиционная компания по развитию торгово-промышленного сотрудничества в Томской области" (подробнее) Ответчики: ООО "Ди Эйч Бизнес Консалтинг" (подробнее) Судьи дела: Ксенофонтова Н.А. (судья)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