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09.06.2021, оставленным без изменения постановлением Семнадцатого арбитражного апелляционного суда от 26.08.2021 и постановлением Арбитражного суда Уральского округа от 16.12.2021, в удовлетворении заявления отказано. В кассационной жалобе Соколкин В.В. просит о пересмотре судебных актов, ссылаясь на отсутствие тождества иска к Малыгиной Т.М. как к поручителю супруга с заявлением о включении в реестр долга в качестве общего для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 условиям мирового соглашения, утвержденного судом общей юрисдикции, в отношении спорного долга должником является Малыгин М.А., в реестр которого включено требование по займу. Судебный акт об утверждении мирового соглашения имеет значение для рассматриваемого спора в силу статьи 69 Арбитражного процессуального кодекса Российской Федерации и правомерно учитывался судами.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Соколкину Виктору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