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Чукотского автономного округа от 12.05.2021, оставленным без изменения постановлением Шестого арбитражного апелляционного суда от 19.08.2021 и постановлением Арбитражного суда Дальневосточного округа от 14.12.2021, иск удовлетворен. В кассационной жалобе, поданной в Верховный Суд Российской Федерации, компания, ссылаясь на нарушение судами норм права, просит отменить указанные судебные акты и направить дело на новое рассмотрение в Арбитражный суд Чукотского автономного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2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факт нарушения компанией (покупатель) срока оплаты товара, поставленного обществом (продавец) по договору поставки от 08.05.2020 № 08/05/2020, суды первой и апелляционной инстанций признали обоснованным начисление неустойки за спорный период. Проверив и признав верным расчет неустойки, не установив оснований для применения положений статьи 333 Гражданского кодекса Российской Федерации ввиду отсутствия доказательств явной несоразмерности неустойки последствиям нарушения обязательства, руководствуясь статьями 329, 330, 486, 506, 509, 516 Гражданского кодекса Российской Федерации,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иск в полном объеме, с чем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непубличного акционерного общества «Чукотская торговая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