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16.04.2021 первоначальные исковые требования удовлетворены, в удовлетворении встречных исковых требований отказано. Постановлением Пятнадцатого арбитражного апелляционного суда от 25.08.2021 решение суда первой инстанции изменено, абзац 3 резолютивной части решения изложен в иной редакции. С компании в пользу общества взыскано 17 160 106 руб. 88 коп. задолженности, 20 544 307 руб. 40 коп. неустойки, 123 864 руб. расходов по уплате государственной пошлины и 627 300 руб. расходов на проведение экспертизы. Постановлением Арбитражного суда Северо-Кавказского округа от 14.12.2021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заключения судебной строительно-технической экспертизы и повторной судебной экспертизы, суд апелляционной инстанции установил факт ненадлежащего исполнения компанией (заказчик) обязательств по оплате выполненных обществом (генеральный подрядчик) работ по спорным договорам (в редакции дополнительных соглашений) и наличие у компании задолженности в заявленном размере. При таких обстоятельствах, исходя из отсутствия доказательств оплаты компанией принятых работ и возврата гарантийного удержания, проверив и скорректировав представленный обществом расчет неустойки, признав неподтвержденным факт нарушения последним сроков выполнения работ, руководствуясь статьями 309 , 310 , 330 , 721 , 722 , 723 , 740 , 754 , 755 Гражданского кодекса Российской Федерации, суд пришел к выводу о наличии оснований для частичного удовлетворения первоначальных исковых требований и отказа в удовлетворении встречного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«Тандер»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"Эста Констракшен" (подробнее) Ответчики: АО "ТАНДЕР" (подробнее) Судьи дела: Чучунова Н.С.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