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Чурагулов Вячеслав Игоревич обратился в суд с заявлением о признании недействительным договора цессии от 15.01.2019, заключенного между должником и обществом, применении последствий недействительности сделки в виде взыскания с ответчика 5 316 000 рублей, полученных по недействительной сделке, процентов за пользование чужими денежными средствами вследствие неосновательного обогащения в размере 486 458 рублей 70 копеек. Также конкурсный управляющий просил восстановить права требования к обществу с ограниченной ответственностью «КАРСТ» в сумме 543 381 рубль, из которых 200 000 рублей – основной долг, 343 381 рубль – неустойка. Определением Арбитражного суда города Санкт-Петербурга и Ленинградской области от 02.06.2021 заявление конкурсного управляющего удовлетворено частично: признан недействительным договор цессии от 15.01.2019, применены последствия недействительности сделки в виде взыскания с общества 5 326 000 рублей, и процентов за пользование чужими денежными средствами вследствие неосновательного обогащения в размере 486 458 рублей 70 копеек; восстановлены права требования к обществу 2 с ограниченной ответственностью «КАРСТ» в сумме 200 000 рублей основного долга. Отказано в удовлетворении остальной части заявления. Постановлением Тринадцатого арбитражного апелляционного суда от 27.08.2021 отменено определение суда первой инстанции от 02.06.2021, отказано в удовлетворении заявления. Постановлением Арбитражного суда Северо-Западного округа от 09.12.2021 отменено постановление апелляционного суда от 27.08.2021, оставлено в силе определение суда первой инстанции от 02.06.2021. В кассационной жалобе, поданной в Верховный Суд Российской Федерации, заявитель просит отменить указанное постановление суда округа, оставить в силе постановление апелляционного суда.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суда, суд округа, руководствуясь положениями статьи 19 и пункта 1 статьи 61.2 Федерального закона от 26.10.2002 № 127-ФЗ «О несостоятельности (банкротстве)», обоснованно согласился с выводами суда первой инстанции о доказанности наличия совокупности оснований для признания оспариваемой сделки недействительной.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Выводы суда округа соответствуют нормам права, оснований для переоценки этих выводов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«Техногрупп-Судостроение»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