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обратился в апелляционный суд с заявлением о пересмотре по вновь открывшимся обстоятельствам постановления Десятого арбитражного апелляционного суда от 26.02.2021 о привлечении ФИО1 к субсидиарной ответственности по обязательствам должника. Определением Десятого арбитражного апелляционного суда от 14.10.2021, оставленным без изменения постановлением Арбитражного суда Московского округа от 28.12.2021,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Десятый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апелляционный инстанции и округа, руководствуясь статьями 309 , 311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заявлении обстоятельства не отвечали признакам новых или вновь открывшихся, не свидетельствовали об ошибочности содержащихся в пересматриваемом судебном акте и правильных по существу выводов апелляционного суда. Представленное заявителем новое доказательство могло быть передано суду самим привлекаемым к субсидиарной ответственности лицом; оно, в свою очередь, не подтверждало факта надлежащего исполнения ФИО1 обязанности по передаче конкурсному управляющему документации должника.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гражданина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ВТБ ЛИЗИНГ (подробнее) Ассоциация Арбитражных управляющих "Содружество" (подробнее) ИФНС России по г. Егорьевску Московской области (подробнее) ООО "Дядина-Говядина" (подробнее) ООО "Ресурс-М" (подробнее) ФНС России (подробнее) Ответчики: ООО "ГРОФИЛЛЕ"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