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Фесак Эльзы Александровны финансовый управляющий ее имуществом Акубжанова Крестина Викторовна обратилась в Арбитражный суд города Москвы с заявлением о признании недействительным договора купли-продажи квартиры от 11.07.2018, заключенного между должником и Гетмановичем Владимиром Зыгмундовичем. Определением Арбитражного суда города Москвы от 15.06.2021 в удовлетворении заявления финансового управляющего отказано. Постановлением Девятого арбитражного апелляционного суда от 04.10.2021 определение суда первой инстанции оставлено без изменения. Арбитражный суд Московского округа постановлением от 22.12.2021 указанные судебные акты оставил без изменения. Общество с ограниченной ответственностью «БилдБрокер» обратилось в Судебную коллегию Верховного Суда Российской Федерации с кассационной 2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61.2, 213.32 Федерального закона от 26.10.2002 № 127-ФЗ «О несостоятельности (банкротстве)» и исходили из недоказанности наличия совокупности условий, необходимой для признания оспариваемой сделки недействительной, учитывая отсутствие достаточных доказательств того, что ответчик знал или должен был знать об ущемлении интересов кредиторов должника либо о неплатежеспособности или недостаточности имущества должника на момент совершения оспариваемой сделки.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«БилдБрокер»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