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31.05.2021, оставленным без изменения постановлением Пятого арбитражного апелляционного суда от 05.08.2021 и постановлением Арбитражного суда Дальневосточного округа от 10.12.2021, в удовлетворении заявления отказано. В кассационной жалобе Трофимов В.А. просит об отмене судебных актов, ссылаясь на неисследование необходимых для разрешения спора обстоятельств и неправильное определение начала течения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представленные доказательства, суды признали недоказанными обстоятельства, которые в силу пункта 1 статьи 578 Гражданского кодекса Российской Федерации являются основанием для отмены дарения, в связи с чем отказали в удовлетворении требования. Вывод судов об исчислении для кредитора срока на отмену сделки дарения с указанного дарителем момента причинения ему должником телесных повреждений соответствует статье 200 Гражданского кодекса Российской Федерации. Иные оценка заявителем жалобы фактических обстоятельств спора и толкование норм права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Трофимову В.А.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