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21.04.2021, оставленным без изменения постановлением Девятого арбитражного апелляционного суда от 26.07.2021 и постановлением Арбитражного суда Московского округа от 10.12.2021, в удовлетворении исковых требований отказано. В кассационной жалобе, поданной в Верховный Суд Российской Федерации, управление,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управления (субподрядчик) мотивирован ненадлежащим исполнением обществом (генеральный подрядчик) обязательств по оплате работ, выполненных по договору от 03.11.2017 № 47-2СМР-СП/17.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в связи с нарушением субподрядчиком обязанности по предоставлению генеральному подрядчику исполнительной документации, последним начислена неустойка и произведен зачет встречных требований, руководствуясь статьями 309, 310, 329, 330, 407, 410, 708, 711, 726, 746, 753 Гражданского кодекса Российской Федерации, суды первой и апелляционной инстанций пришли к выводу об отсутствии на стороне общества неисполненного обязательства, отказав в удовлетворении иска.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«Монолитное строительное управление-1»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