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16.04.2021, оставленным без изменения постановлением Двадцатого арбитражного апелляционного суда от 24.09.2021 и постановлением Арбитражного суда Центрального округа от 13.12.2021, в удовлетворении заявления отказано в связи с истечением срока исковой давности, о применении которой заявил Парамонов С.Д. В кассационной жалобе Белобрагина А.А. просит об отмене судебных актов, ссылаясь на ошибочность вывода о пропуске срока исковой давности и неправильную оценку обстоятельств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принял за начало течения срока исковой давности 31.08.2017 (дату введения процедуры реструктуризации долгов гражданина) и признал срок к предъявлению 29.09.2020 рассматриваемого заявления пропущенным в соответствии со статьями 196, 199, 200 Гражданского кодекса Российской Федерации, при этом дав оценку доводам по существу требования. Доводы рассматриваемой кассационной жалобы повторяют доводы, заявленные судам, получили правовую оценку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Белобрагиной Александре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