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06.04.2021 в удовлетворении иска отказано. Постановлением Девятнадцатого арбитражного апелляционного суда от 17.09.2021 решение суда первой инстанции отменено, иск удовлетворен. Постановлением Арбитражного суда Центрального округа от 14.12.2021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незаконность постановлений судов апелляционной и кассационной инстанций, просит их отменить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Как следует из обжалуемых судебных актов, требования кооператива, осуществляющего управление спорным многоквартирным домом, мотивированы тем, что в ходе капитального ремонта крыши подрядной организацией (общество), привлеченной фондом, была засорена и разрушена система вентиляции дома, что повлекло расходы на осмотр и ремонт общего имущества дома.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статьей 15 Гражданского кодекса Российской Федерации, статьями 162 , 180 , 182 Жилищного кодекса Российской Федерации, пунктом 5.5.6 Правил и норм технической эксплуатации жилищного фонда, утвержденных Постановлением Госстроя Российской Федерации от 27.09.2003 № 170, подпунктом «а» пункта 11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утвержденных Постановлением Правительства Российской Федерации от 14.05.2013 № 410,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исходя из доказанности истцом размера убытков, причинно-следственной связи между ненадлежащим исполнением обязательств по проведению капитального ремонта привлеченной ответчиком подрядной организацией и понесенными убытками, суд апелляционной инстанции пришел к выводу о наличии оснований для удовлетворения иска, с чем впоследствии согласился суд округа. Доводы кассационной жалобы выводы судов апелляционной инстанции и округа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«Вертикаль»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