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24.02.2021, оставленным без изменения постановлением Четырнадцатого арбитражного апелляционного суда от 04.06.2021 и постановлением Арбитражного суда Северо-Западного округа от 06.12.2021, иск удовлетворен. В кассационной жалобе, поданной в Верховный Суд Российской Федерации, ФИО1,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общества мотивирован отсутствием возможности использовать принадлежащее ему недвижимое имущество в связи с размещением в производственных помещениях имущества компании.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обстоятельства, установленные вступившим в законную силу решением Арбитражного суда Новгородской области от 15.10.2018 по делу № А44-5133/2018, установив, что использование спорного помещения в силу размещения в нем принадлежащего компании оборудования невозможно, поскольку помещения являются частью единого производственного объекта, объединены одним предназначением, имеют общие входы, помещения, и самостоятельно, как отдельные помещения, использоваться не могут, исходя из подтвержденности факта использования компанией имущества общества и отсутствия доказательств оплаты пользования помещением, руководствуясь статьями 8 , 209 , 423 , 1102 Гражданского кодекса Российской Федерации, суды первой и апелляционной инстанций пришли к выводу о наличии оснований для удовлетворения иска.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