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08.05.2018, оставленным без изменения постановлением Семнадцатого арбитражного апелляционного суда от 18.10.2018 и постановлением Арбитражного суда Уральского округа от 07.02.2019, в удовлетворении исковых требований отказано. В кассационной жалобе, поданной в Верховный Суд Российской Федерации, представитель участников общества «РИЛ-Авто»,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При этом в жалобе заявитель выражает несогласие с выводами судов об отсутствии оснований для взыскания неосновательного обогащения и не приводит доводов о незаконности судебных актов в остальной части.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установлено судами, общество «Ростинвестлизинг» (лизингодатель) и общество с ограниченной ответственностью «Чайковская керамика» (лизингополучатель) заключили договоры лизинга от 18.04.2007 № 200709/358/Н и № 200709/358/О (далее – договоры лизинга). Лизингополучатель и Завод заключили соглашения от 30.06.2011 о переводе обязанностей и уступке прав по договорам лизинга, согласно которым новым лизингополучателем по этим договорам стал Завод. Впоследствии Завод и общество «РИЛ-Авто» заключили соглашения от 04.03.2014 о переводе обязанностей и уступке прав по договорам лизинга, в соответствии с которыми новым лизингополучателем по данным договорам стало общество «РИЛ-Авто». Решением Третейского суда при Пермской Торгово-промышленной палате от 09.11.2016 по делу № 15/2016 утверждено мировое соглашение, договоры лизинга расторгнуты, предметы лизинга возвращены обществу «Ростинвестлизинг». Полагая, что общество «Ростинвестлизинг» в результате расторжения договоров лизинга и возвращения ему предметов лизинга неосновательно обогатилось, общество «РИЛ-Авто» обратилось в арбитражный суд с настоящим иском.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условия договоров лизинга, руководствуясь статьей 1102 Гражданского кодекса Российской Федерации, пришли к выводу об отсутствии на стороне ответчика неосновательного обогащения за счет истца, исходя из того, что лизинговые платежи по договорам лизинга представляют собой плату за пользование предметом лизинга (амортизация, инвестиционные затраты, проценты по кредитам, дополнительные расходы лизингодателя, налог на имущество и страховая премия); условиями названных договоров стороны оговорили заключение договора выкупа лизингового имущества в самостоятельном порядке, а также согласование договорной цены предмета лизинга и графика платежей к договору выкупа, однако договор выкупа предмета лизинга сторонами не заключался, выкупная стоимость имущества сторонами не согласовывалась и истцом не оплачивалась, график платежей к договору выкупа не составлялся. Впоследствии с указанными выводами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по существу сводятся к несогласию заявителя с оценкой доказательств, данной судами, и установленными фактическими обстоятельствами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представителя участников общества с ограниченной ответственностью «РИЛ-Авто»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"РИЛ-АВТО" (подробнее) Ответчики: ООО "РОСТИНВЕСТЛИЗИНГ" (подробнее) Иные лица: ООО "ПРОИЗВОДСТВЕННОЕ ОБЪЕДИНЕНИЕ "КИРПИЧНЫЙ ЗАВОД" (подробнее) Последние документы по делу: Определение от 11 апреля 2022 г. по делу № А50-8867/2018 Определение от 4 июня 2019 г. по делу № А50-8867/2018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