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26.07.2021, оставленным без изменения постановлением Девятого арбитражного апелляционного суда от 21.10.2021, в удовлетворении заявленного требования отказано. Постановлением Арбитражного суда Московского округа от 24.01.2022 указанные судебные акты оставлены без изменения. В кассационной жалобе, поступившей в Верховный Суд Российской Федерации, предприниматель просит отменить принятые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378.2 , 400 , 403 Налогового кодекса Российской Федерации, статьи 24.19 Федерального закона от 29.07.1998 № 135-ФЗ «Об оценочной деятельности в Российской Федерации», суды отказали в удовлетворении заявленных требований, установив, что на основании изменения по заявлению налогоплательщика площади здания и произведенного пересчета кадастровой стоимости, сведения о которой были переданы в налоговый орган в порядке статьи 85 Налогового кодекса Российской Федерации, налоговым органом были рассчитаны спорные суммы налога, включенные в оспариваемое уведомление; размер измененной кадастровой стоимости не был оспорен налогоплательщиком. Доводы кассационной жалобы были предметом исследования судов и получили исчерпывающую правовую оценку с учетом экономического основания налога на имущество и установленного законодательством порядка пересмотра результатов определения кадастровой стоимости,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