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16.08.2021, оставленным без изменения постановлением Тринадцатого арбитражного апелляционного суда от 19.10.2021, в удовлетворении требований отказано. Постановлением Арбитражного суда Северо-Западного округа от 19.01.2022 указанные судебные акты оставлены без изменения. Общество в кассационной жалобе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2 статьи 14.13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13.192 настоящего Кодекса. Оценив представленные доказательства, руководствуясь положениями статей 161 , 162 Жилищного кодекса Российской Федерации, Правил и норм технической эксплуатации жилищного фонда, утвержденных постановлением Государственного комитета Российской Федерации по строительству и жилищно-коммунальному комплексу от 27.09.2003 № 170, Правил содержания общего имущества в многоквартирном доме, утвержденных постановлением Правительства Российской Федерации от 13.08.2006 № 491, суды пришли к выводу о наличии в действиях общества состава правонарушения, ответственность за совершение которого предусмотрена частью 2 статьи 14.13 Кодекса Российской Федерации об административных правонарушениях, установив факт осуществления обществом предпринимательской деятельности по управлению многоквартирными домами с нарушением лицензионных требований (в части ненадлежащего содержания общего имущества). Суды признали, что процедура и срок давности привлечения к ответственности соблюдены, оснований для применения статьи 2.9 Кодекса Российской Федерации об административных правонарушениях не выявлено. Штраф назначен ниже низшего размера санкции нормы. Приведенные в жалобе доводы, идентичные изложенным в обоснование позиции заявителя при рассмотрении дела, подробно исследованы судами и им дана соответствующая правовая оценка. При этом вопреки доводам жалобы лицензионными требованиями, административная ответственность за нарушение которых установлена частью 2 статьи 14.1.3 Кодекса Российской Федерации об административных правонарушениях, является оказание всех услуг и (или) выполнение работ по управлению многоквартирным домом, а также по надлежащему содержанию общего имущества в многоквартирном доме управляющей организацией, что предполагает и соблюдение Правил № 170 (пункт 29 Обзора судебной практики Верховного Суда Российской Федерации № 3 (2017) (утв. Президиумом Верховного Суда Российской Федерации 12.07.2017). Существенных нарушений судами норм материального права, а также требований процессуального законодательства, повлиявших на исход судебного разбирательства, по доводам жалобы не установлено.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