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21.05.2021 исковые требования удовлетворены. Одиннадцатый арбитражный апелляционный суд определением от 09.08.2021 перешел к рассмотрению дела по правилам для суда первой инстанции, привлек к участию в деле в качестве третьего лица, не заявляющего самостоятельных требований относительно предмета спора, общество с ограниченной ответственностью «Ресо-Лизинг». Постановлением Одиннадцатого арбитражного апелляционного суда от 03.09.2021 решение суда первой инстанции отменено, с предпринимателя в пользу общества взыскано 563 686 руб. долга, 137 539 руб. 38 коп. пеней, 33 400 руб. убытков, 10 000 руб. судебных расходов на оплату юридических услуг, 5000 руб. судебных расходов за подготовку возражений на апелляционную жалобу, 136 руб. 80 коп. почтовых расходов, в удовлетворении остальной части требований отказано. Постановлением Арбитражного суда Поволжского округа от 13.12.2021 постановление суда апелляционной инстанции оставлено без изменения. В кассационной жалобе, поданной в Верховный Суд Российской Федерации, предприниматель, ссылаясь на нарушение судами норм права, просит отменить указанные судебные акты и принять по делу новый судебный акт об отказе в удовлетворении исковых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заключенного сторонами договора от 24.05.2019 № 01-КАЗ аренды автотранспортного средства с правом выкупа, установив факт неисполнения предпринимателем (арендатор) обязательств по внесению арендной платы в спорный период, признав доказанной совокупность обстоятельств для привлечения предпринимателя к ответственности в виде взыскания убытков, руководствуясь статьями 15 , 309 , 310 , 330 , 393 , 421 , 431 , 606 , 614 , 645 , 646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апелляционной инстанции пришел к выводу о наличии оснований для частичного удовлетворения исковых требований (с учетом снижения размера неустойки по правилам статьи 333 Гражданского кодекса Российской Федерации). Суд округа поддержал выводы суда апелляционной инстанции. Доводы кассационной жалобы были предметом рассмотрения судов апелляционной инстанции и округа и получили правовую оценку, не опровергают приведенные выводы указанных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Поскольку в передаче кассационной жалобы для рассмотрения в судебном заседании Судебной коллегии Верховного Суда Российской Федерации отказано, ходатайство предпринимателя о приостановлении исполнения обжалуемых судебных актов рассмотрению не подлежит.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