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2 установленного пунктом 1 статьи 64 Налогового кодекса Российской Федерации. Учитывая представление доказательств, свидетельствующих о том, что имущественное положение заявителя не позволяет ему уплатить при обращении с кассационной жалобой государственную пошлину в установленном размере (3000 рублей), ходатайство о предоставлении отсрочки уплаты государственной пошлины подлежит удовлетворению. Учитывая изложенное и руководствуясь статьями 102, 184, 291.3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«Инвест Проект» в лице конкурсного управляющего Крюкова А.М. удовлетворить. Предоставить обществу с ограниченной ответственностью «Инвест Проект» отсрочку по уплате государственной пошлины в сумме 3 000 рублей до окончания производства по рассмотрению кассационной жалобы на решение Арбитражного суда города Москвы от 22.11.2021 по делу № А40-197712/2021, постановление Девятого арбитражного апелляционного суда от 23.12.2021 и постановление Арбитражного суда Московского округа от 21.03.2022 по тому же делу.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