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09.06.2021, оставленным без изменения постановлением Десятого арбитражного апелляционного суда от 27.08.2021 и постановлением Арбитражного суда Московского округа от 13.12.2021,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(агент) мотивирован неисполнением компанией (принципал) обязательств по уплате агентского вознаграждения по агентскому договору от 01.09.2016 № 003.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 , 11 , 160 , 161 , 432 , 433 , 1005 , 1006 , 1008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недоказанности истцом наличия между сторонами договорных отношений.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«Котельные Системы Урала»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