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30.06.2021, оставленным без изменения постановлением Тринадцатого арбитражного апелляционного суда от 23.09.2021, арбитражный управляющий привлечена к административной ответственности, предусмотренной частью 3 статьи 14.13 Кодекса Российской Федерации об административных правонарушениях и ей назначено административное наказание в виде штрафа в размере 25 000 рублей. Постановлением Арбитражного суда Северо-Западного округа от 20.12.2021 указанные судебные акты отменены, дело направлено на новое рассмотрение в арбитражный суд первой инстанции. Управление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При изучении доводов жалобы и принятых по делу судебных актов,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решение суда первой инстанции и постановление апелляционного суда,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исходил из необходимости оценки характера и степени общественной опасности совершенного арбитражным управляющим правонарушения в отсутствие противоправности ее поведения в части первого эпизода. Обстоятельства использования открытого специального счета не в целях его открытия, на которые ссылается административный орган в кассационной жалобе, противоречат протоколу по делу об административном правонарушении, согласно которому данное деяние арбитражному управляющему не вменялось. Указанные выводы в жалобе не опровергнуты.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спора.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