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09.06.2021, оставленным без изменения постановлением Девятого арбитражного апелляционного суда от 17.08.2021, в иске отказано. Постановлением Арбитражного суда Московского округа от 17.12.2021 указанные судебные акты оставлены без изменения. Предприятие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309 , 330 , 401 , 404 , 718 Гражданского кодекса Российской Федерации, статьи 34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не установив вины общества в ненадлежащем исполнении обязательств. Доводы жалобы направлены на переоценку доказательств и установление иных фактических обстоятельств дела, в связи с чем не могут служить основанием для передачи жалобы на рассмотрение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