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06.09.2021, оставленным без изменения постановлениями Одиннадцатого арбитражного апелляционного суда от 25.10.2021 и Арбитражного суда Поволжского округа от 13.01.2022, в удовлетворении заявления отказано. В кассационной жалобе общество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судебным приставом-исполнителем на основании исполнительных листов ФС № 034000004 и ФС № 034000003, выданных во исполнение определения Арбитражного суда Республики Татарстан от 11.02.2021 по делу № А65-13807/2017, в отношении ФИО3 и ФИО4 возбуждены исполнительные производства. Полагая, что бездействие судебного пристава-исполнителя, выразившееся в необращении взыскания на денежные средства должников, отсутствии запроса сведений о доходах должника, непринятии мер по изъятию и реализации, аресту и обращению взыскания на имущество должников, невынесении постановлений о временном ограничении на выезд должников из Российской Федерации, непринятии мер по выявлению имущества должников, нарушает его права и законные интересы, общество обратилось в арбитражный суд. Оценив представленные в материалы дела доказательства, руководствуясь положениями Федерального закона от 02.10.2007 № 229-ФЗ «Об исполнительном производстве», Федерального закона от 21.07.1997 № 118-ФЗ «Об органах принудительного исполнения Российской Федерации», разъяснениями Пленума Верховного Суда Российской Федерации, изложенными в пункте 15 постановления от 17.11.2015 № 50 «О применении судами законодательства при рассмотрении некоторых вопросов, возникающих в ходе исполнительного производства», суды не усмотрели оснований для удовлетворения заявленных требований. Судебные инстанции исходили из отсутствия факта бездействия судебного пристава-исполнителя в рамках спорных исполнительных производств. При исследовании обстоятельств дела установлено, что судебным приставом-исполнителем произведены необходимые мероприятия и действия по исполнению судебного акта. Доводы, изложенные в кассационной жалобе, не подтверждают существенных нарушений норм материального и норм процессуального права, повлиявших на исход дела,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«СГ «Континентстрой» в лице конкурсного управляющего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